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60C8B" w:rsidRDefault="00360C8B" w:rsidP="00360C8B">
      <w:r>
        <w:t>L’introduzione dell'Intelligenza Artificiale (IA) nei processi aziendali non è più una questione di “se”, ma di “come”. In questo scenario dirompente, il collegio sindacale emerge come un attore cruciale, il cui ruolo si trasforma inevitabilmente: non è più sufficiente vigilare sulla mera legalità formale e sulla correttezza contabile. Infatti, il rischio maggiore per un'azienda non è non adottare l'IA, ma adottarla senza la dovuta consapevolezza dei rischi. I sindaci devono dunque agire in modo proattivo, pretendendo che il management non consideri l'IA un mero strumento tecnologico, ma un fattore di rischio sistemico da integrare pienamente nel Sistema di controllo interno e di gestione dei rischi (</w:t>
      </w:r>
      <w:proofErr w:type="spellStart"/>
      <w:r>
        <w:t>Scigr</w:t>
      </w:r>
      <w:proofErr w:type="spellEnd"/>
      <w:r>
        <w:t xml:space="preserve">). Ciò implica che il collegio debba assicurarsi che l'azienda adotti un solido modello di AI Governance. Non può accettare che l'IA sia una “scatola nera” gestita in modo opaco; deve esigere la definizione chiara di ruoli e responsabilità, ad esempio mediante l'istituzione di un comitato etico o la nomina di un </w:t>
      </w:r>
      <w:proofErr w:type="spellStart"/>
      <w:r>
        <w:t>Chief</w:t>
      </w:r>
      <w:proofErr w:type="spellEnd"/>
      <w:r>
        <w:t xml:space="preserve"> AI </w:t>
      </w:r>
      <w:proofErr w:type="spellStart"/>
      <w:r>
        <w:t>Officer</w:t>
      </w:r>
      <w:proofErr w:type="spellEnd"/>
      <w:r>
        <w:t>. La vigilanza si orienta verso la capacità dell'azienda di spiegare le decisioni prese dagli algoritmi (</w:t>
      </w:r>
      <w:proofErr w:type="spellStart"/>
      <w:r>
        <w:t>Explainability</w:t>
      </w:r>
      <w:proofErr w:type="spellEnd"/>
      <w:r>
        <w:t xml:space="preserve"> - XAI), elemento essenziale per il diritto alla spiegazione degli interessati e per la tutela della reputazione aziendale.</w:t>
      </w:r>
    </w:p>
    <w:p w:rsidR="00360C8B" w:rsidRDefault="00360C8B" w:rsidP="00360C8B"/>
    <w:p w:rsidR="00360C8B" w:rsidRDefault="00360C8B" w:rsidP="00360C8B">
      <w:r>
        <w:t xml:space="preserve">Il collegio sindacale è il custode della compliance, e oggi questa si estende alla sfera algoritmica. Con l’entrata in vigore e la progressiva applicazione del regolamento (UE) 2024/1689 sull’intelligenza artificiale (AI Act) e della legge 23 settembre 2025, n. 132, recante “Disposizioni e deleghe al Governo in materia di intelligenza artificiale”, che introduce il primo quadro organico nazionale in materia, il collegio assume la responsabilità di verificare che l'azienda abbia correttamente classificato i propri sistemi di IA (ad alto rischio, limitato, ecc.) e che stia implementando le misure di conformità richieste per ciascuna categoria. Parallelamente, la vigilanza sul GDPR si intensifica: il collegio deve monitorare che i modelli di IA non siano addestrati su dati personali in violazione della normativa e che ogni nuovo sistema ad alto impatto sia preceduto da una rigorosa Valutazione d’Impatto sulla protezione dei dati (DPIA). L’inerzia del management su questi fronti, se non debitamente segnalata nel verbale del collegio, potrebbe esporre lo stesso organo a potenziali profili di responsabilità. Inoltre, il collegio deve vigilare affinché l'IA non sia fonte di discriminazione o di </w:t>
      </w:r>
      <w:proofErr w:type="spellStart"/>
      <w:r>
        <w:t>bias</w:t>
      </w:r>
      <w:proofErr w:type="spellEnd"/>
      <w:r>
        <w:t xml:space="preserve"> algoritmici nei processi critici, come la selezione del personale, la valutazione delle performance o l'offerta di servizi finanziari: pur senza entrare nel merito tecnico, deve esigere che esistano procedure di audit interne o esterne per testare la </w:t>
      </w:r>
      <w:proofErr w:type="spellStart"/>
      <w:r>
        <w:t>fairness</w:t>
      </w:r>
      <w:proofErr w:type="spellEnd"/>
      <w:r>
        <w:t xml:space="preserve"> (equità) dei modelli in uso. Infine, il controllo sulla tenuta del Modello 231 deve essere aggiornato per prevenire i rischi di reati (come la frode o la manipolazione di mercato) che potrebbero essere commessi o facilitati dall'automazione algoritmica.</w:t>
      </w:r>
    </w:p>
    <w:p w:rsidR="00360C8B" w:rsidRDefault="00360C8B" w:rsidP="00360C8B"/>
    <w:p w:rsidR="00360C8B" w:rsidRDefault="00360C8B" w:rsidP="00360C8B">
      <w:r>
        <w:t>In definitiva, la responsabilità del collegio sindacale è oggi quella di bilanciare l’efficienza tecnologica con la legalità sostanziale. Questo richiede un innalzamento delle competenze digitali del collegio stesso, o la possibilità di avvalersi di specialisti. I sindaci non possono permettersi di limitare la propria attività a controlli ex post; devono dialogare attivamente con l'</w:t>
      </w:r>
      <w:proofErr w:type="spellStart"/>
      <w:r>
        <w:t>Internal</w:t>
      </w:r>
      <w:proofErr w:type="spellEnd"/>
      <w:r>
        <w:t xml:space="preserve"> Audit e con i responsabili tecnici, formalizzando le proprie osservazioni sui rischi IA. Solo così potranno garantire che l'IA diventi per l'azienda un fattore di crescita sostenibile e non una bomba a orologeria in termini di compliance e reputazione.</w:t>
      </w:r>
    </w:p>
    <w:p w:rsidR="00360C8B" w:rsidRDefault="00360C8B" w:rsidP="00360C8B"/>
    <w:p w:rsidR="00F2007D" w:rsidRDefault="00F2007D" w:rsidP="00360C8B"/>
    <w:sectPr w:rsidR="00F2007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1"/>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C8B"/>
    <w:rsid w:val="00360C8B"/>
    <w:rsid w:val="00B37BDD"/>
    <w:rsid w:val="00BB6786"/>
    <w:rsid w:val="00F2007D"/>
    <w:rsid w:val="00F267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3FAA6CB"/>
  <w15:chartTrackingRefBased/>
  <w15:docId w15:val="{2944319D-8582-844C-8839-B010DBA43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60C8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360C8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360C8B"/>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360C8B"/>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360C8B"/>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360C8B"/>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60C8B"/>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60C8B"/>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60C8B"/>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60C8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360C8B"/>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360C8B"/>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360C8B"/>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360C8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360C8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60C8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60C8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60C8B"/>
    <w:rPr>
      <w:rFonts w:eastAsiaTheme="majorEastAsia" w:cstheme="majorBidi"/>
      <w:color w:val="272727" w:themeColor="text1" w:themeTint="D8"/>
    </w:rPr>
  </w:style>
  <w:style w:type="paragraph" w:styleId="Titolo">
    <w:name w:val="Title"/>
    <w:basedOn w:val="Normale"/>
    <w:next w:val="Normale"/>
    <w:link w:val="TitoloCarattere"/>
    <w:uiPriority w:val="10"/>
    <w:qFormat/>
    <w:rsid w:val="00360C8B"/>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60C8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60C8B"/>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60C8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60C8B"/>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360C8B"/>
    <w:rPr>
      <w:i/>
      <w:iCs/>
      <w:color w:val="404040" w:themeColor="text1" w:themeTint="BF"/>
    </w:rPr>
  </w:style>
  <w:style w:type="paragraph" w:styleId="Paragrafoelenco">
    <w:name w:val="List Paragraph"/>
    <w:basedOn w:val="Normale"/>
    <w:uiPriority w:val="34"/>
    <w:qFormat/>
    <w:rsid w:val="00360C8B"/>
    <w:pPr>
      <w:ind w:left="720"/>
      <w:contextualSpacing/>
    </w:pPr>
  </w:style>
  <w:style w:type="character" w:styleId="Enfasiintensa">
    <w:name w:val="Intense Emphasis"/>
    <w:basedOn w:val="Carpredefinitoparagrafo"/>
    <w:uiPriority w:val="21"/>
    <w:qFormat/>
    <w:rsid w:val="00360C8B"/>
    <w:rPr>
      <w:i/>
      <w:iCs/>
      <w:color w:val="2F5496" w:themeColor="accent1" w:themeShade="BF"/>
    </w:rPr>
  </w:style>
  <w:style w:type="paragraph" w:styleId="Citazioneintensa">
    <w:name w:val="Intense Quote"/>
    <w:basedOn w:val="Normale"/>
    <w:next w:val="Normale"/>
    <w:link w:val="CitazioneintensaCarattere"/>
    <w:uiPriority w:val="30"/>
    <w:qFormat/>
    <w:rsid w:val="00360C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360C8B"/>
    <w:rPr>
      <w:i/>
      <w:iCs/>
      <w:color w:val="2F5496" w:themeColor="accent1" w:themeShade="BF"/>
    </w:rPr>
  </w:style>
  <w:style w:type="character" w:styleId="Riferimentointenso">
    <w:name w:val="Intense Reference"/>
    <w:basedOn w:val="Carpredefinitoparagrafo"/>
    <w:uiPriority w:val="32"/>
    <w:qFormat/>
    <w:rsid w:val="00360C8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547</Words>
  <Characters>3118</Characters>
  <Application>Microsoft Office Word</Application>
  <DocSecurity>0</DocSecurity>
  <Lines>25</Lines>
  <Paragraphs>7</Paragraphs>
  <ScaleCrop>false</ScaleCrop>
  <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giordano</dc:creator>
  <cp:keywords/>
  <dc:description/>
  <cp:lastModifiedBy>fabio giordano</cp:lastModifiedBy>
  <cp:revision>1</cp:revision>
  <dcterms:created xsi:type="dcterms:W3CDTF">2025-12-16T16:20:00Z</dcterms:created>
  <dcterms:modified xsi:type="dcterms:W3CDTF">2025-12-16T16:21:00Z</dcterms:modified>
</cp:coreProperties>
</file>